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9"/>
        </w:tabs>
        <w:ind w:left="3458"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2">
      <w:pPr>
        <w:tabs>
          <w:tab w:val="left" w:leader="none" w:pos="709"/>
        </w:tabs>
        <w:ind w:left="3458"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Press Release</w:t>
      </w:r>
    </w:p>
    <w:p w:rsidR="00000000" w:rsidDel="00000000" w:rsidP="00000000" w:rsidRDefault="00000000" w:rsidRPr="00000000" w14:paraId="00000003">
      <w:pPr>
        <w:tabs>
          <w:tab w:val="left" w:leader="none" w:pos="709"/>
        </w:tabs>
        <w:ind w:left="3458" w:firstLine="0"/>
        <w:rPr>
          <w:rFonts w:ascii="Verdana" w:cs="Verdana" w:eastAsia="Verdana" w:hAnsi="Verdana"/>
          <w:b w:val="1"/>
          <w:bCs w:val="1"/>
          <w:sz w:val="32"/>
          <w:szCs w:val="32"/>
        </w:rPr>
      </w:pPr>
      <w:r w:rsidDel="00000000" w:rsidR="00000000" w:rsidRPr="00000000">
        <w:rPr>
          <w:rtl w:val="0"/>
        </w:rPr>
      </w:r>
    </w:p>
    <w:p w:rsidR="00000000" w:rsidDel="00000000" w:rsidP="00000000" w:rsidRDefault="00000000" w:rsidRPr="00000000" w14:paraId="00000004">
      <w:pPr>
        <w:tabs>
          <w:tab w:val="left" w:leader="none" w:pos="709"/>
        </w:tabs>
        <w:ind w:left="3458" w:firstLine="0"/>
        <w:rPr/>
      </w:pPr>
      <w:r w:rsidDel="00000000" w:rsidR="00000000" w:rsidRPr="00000000">
        <w:rPr>
          <w:rFonts w:ascii="Verdana" w:cs="Verdana" w:eastAsia="Verdana" w:hAnsi="Verdana"/>
          <w:b w:val="1"/>
          <w:bCs w:val="1"/>
          <w:sz w:val="32"/>
          <w:szCs w:val="32"/>
          <w:rtl w:val="0"/>
        </w:rPr>
        <w:t xml:space="preserve">The European Collective </w:t>
        <w:br w:type="textWrapping"/>
        <w:t xml:space="preserve">Housing Award opens </w:t>
        <w:br w:type="textWrapping"/>
        <w:t xml:space="preserve">the call for its 2nd edition</w:t>
      </w:r>
      <w:r w:rsidDel="00000000" w:rsidR="00000000" w:rsidRPr="00000000">
        <w:rPr>
          <w:rtl w:val="0"/>
        </w:rPr>
      </w:r>
    </w:p>
    <w:p w:rsidR="00000000" w:rsidDel="00000000" w:rsidP="00000000" w:rsidRDefault="00000000" w:rsidRPr="00000000" w14:paraId="00000005">
      <w:pPr>
        <w:tabs>
          <w:tab w:val="left" w:leader="none" w:pos="709"/>
        </w:tabs>
        <w:ind w:left="3458" w:firstLine="0"/>
        <w:rPr/>
      </w:pPr>
      <w:r w:rsidDel="00000000" w:rsidR="00000000" w:rsidRPr="00000000">
        <w:rPr>
          <w:rtl w:val="0"/>
        </w:rPr>
      </w:r>
    </w:p>
    <w:p w:rsidR="00000000" w:rsidDel="00000000" w:rsidP="00000000" w:rsidRDefault="00000000" w:rsidRPr="00000000" w14:paraId="00000006">
      <w:pPr>
        <w:tabs>
          <w:tab w:val="left" w:leader="none" w:pos="709"/>
        </w:tabs>
        <w:ind w:left="3458"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30</w:t>
      </w:r>
      <w:r w:rsidDel="00000000" w:rsidR="00000000" w:rsidRPr="00000000">
        <w:rPr>
          <w:rFonts w:ascii="Verdana" w:cs="Verdana" w:eastAsia="Verdana" w:hAnsi="Verdana"/>
          <w:sz w:val="20"/>
          <w:szCs w:val="20"/>
          <w:rtl w:val="0"/>
        </w:rPr>
        <w:t xml:space="preserve"> | 01 | 2026</w:t>
      </w:r>
    </w:p>
    <w:p w:rsidR="00000000" w:rsidDel="00000000" w:rsidP="00000000" w:rsidRDefault="00000000" w:rsidRPr="00000000" w14:paraId="00000007">
      <w:pPr>
        <w:tabs>
          <w:tab w:val="left" w:leader="none" w:pos="709"/>
        </w:tabs>
        <w:ind w:left="3458" w:firstLine="0"/>
        <w:rPr/>
      </w:pPr>
      <w:r w:rsidDel="00000000" w:rsidR="00000000" w:rsidRPr="00000000">
        <w:rPr>
          <w:rtl w:val="0"/>
        </w:rPr>
      </w:r>
    </w:p>
    <w:p w:rsidR="00000000" w:rsidDel="00000000" w:rsidP="00000000" w:rsidRDefault="00000000" w:rsidRPr="00000000" w14:paraId="00000008">
      <w:pPr>
        <w:tabs>
          <w:tab w:val="left" w:leader="none" w:pos="709"/>
        </w:tabs>
        <w:ind w:left="3458" w:firstLine="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 Initiated by the </w:t>
      </w:r>
      <w:r w:rsidDel="00000000" w:rsidR="00000000" w:rsidRPr="00000000">
        <w:rPr>
          <w:rFonts w:ascii="Verdana" w:cs="Verdana" w:eastAsia="Verdana" w:hAnsi="Verdana"/>
          <w:b w:val="1"/>
          <w:bCs w:val="1"/>
          <w:sz w:val="22"/>
          <w:szCs w:val="22"/>
          <w:u w:val="single"/>
          <w:rtl w:val="0"/>
        </w:rPr>
        <w:t xml:space="preserve">Basque Architecture Institute </w:t>
        <w:br w:type="textWrapping"/>
        <w:t xml:space="preserve">/ EAI</w:t>
      </w:r>
      <w:r w:rsidDel="00000000" w:rsidR="00000000" w:rsidRPr="00000000">
        <w:rPr>
          <w:rFonts w:ascii="Verdana" w:cs="Verdana" w:eastAsia="Verdana" w:hAnsi="Verdana"/>
          <w:b w:val="1"/>
          <w:bCs w:val="1"/>
          <w:sz w:val="22"/>
          <w:szCs w:val="22"/>
          <w:rtl w:val="0"/>
        </w:rPr>
        <w:t xml:space="preserve"> (Donostia-San Sebastián) and </w:t>
      </w:r>
      <w:r w:rsidDel="00000000" w:rsidR="00000000" w:rsidRPr="00000000">
        <w:rPr>
          <w:rFonts w:ascii="Verdana" w:cs="Verdana" w:eastAsia="Verdana" w:hAnsi="Verdana"/>
          <w:b w:val="1"/>
          <w:bCs w:val="1"/>
          <w:sz w:val="22"/>
          <w:szCs w:val="22"/>
          <w:u w:val="single"/>
          <w:rtl w:val="0"/>
        </w:rPr>
        <w:t xml:space="preserve">arc en rêve</w:t>
      </w:r>
      <w:r w:rsidDel="00000000" w:rsidR="00000000" w:rsidRPr="00000000">
        <w:rPr>
          <w:rFonts w:ascii="Verdana" w:cs="Verdana" w:eastAsia="Verdana" w:hAnsi="Verdana"/>
          <w:b w:val="1"/>
          <w:bCs w:val="1"/>
          <w:sz w:val="22"/>
          <w:szCs w:val="22"/>
          <w:rtl w:val="0"/>
        </w:rPr>
        <w:t xml:space="preserve"> </w:t>
        <w:br w:type="textWrapping"/>
        <w:t xml:space="preserve">centre d’architecture (Bordeaux), the award will recognise housing developments in two categories: New construction and Renovation</w:t>
      </w:r>
      <w:r w:rsidDel="00000000" w:rsidR="00000000" w:rsidRPr="00000000">
        <w:rPr>
          <w:rFonts w:ascii="Verdana" w:cs="Verdana" w:eastAsia="Verdana" w:hAnsi="Verdana"/>
          <w:sz w:val="22"/>
          <w:szCs w:val="22"/>
          <w:rtl w:val="0"/>
        </w:rPr>
        <w:t xml:space="preserve">.</w:t>
      </w:r>
      <w:r w:rsidDel="00000000" w:rsidR="00000000" w:rsidRPr="00000000">
        <w:rPr>
          <w:rtl w:val="0"/>
        </w:rPr>
      </w:r>
    </w:p>
    <w:p w:rsidR="00000000" w:rsidDel="00000000" w:rsidP="00000000" w:rsidRDefault="00000000" w:rsidRPr="00000000" w14:paraId="00000009">
      <w:pPr>
        <w:tabs>
          <w:tab w:val="left" w:leader="none" w:pos="709"/>
        </w:tabs>
        <w:ind w:left="3458" w:firstLine="0"/>
        <w:rPr>
          <w:rFonts w:ascii="Verdana" w:cs="Verdana" w:eastAsia="Verdana" w:hAnsi="Verdana"/>
          <w:b w:val="1"/>
          <w:bCs w:val="1"/>
          <w:sz w:val="22"/>
          <w:szCs w:val="22"/>
        </w:rPr>
      </w:pPr>
      <w:r w:rsidDel="00000000" w:rsidR="00000000" w:rsidRPr="00000000">
        <w:rPr>
          <w:rtl w:val="0"/>
        </w:rPr>
      </w:r>
    </w:p>
    <w:p w:rsidR="00000000" w:rsidDel="00000000" w:rsidP="00000000" w:rsidRDefault="00000000" w:rsidRPr="00000000" w14:paraId="0000000A">
      <w:pPr>
        <w:tabs>
          <w:tab w:val="left" w:leader="none" w:pos="709"/>
        </w:tabs>
        <w:ind w:left="3458" w:firstLine="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 The previous edition, which received more than </w:t>
        <w:br w:type="textWrapping"/>
        <w:t xml:space="preserve">170 proposals from 19 European countries, awarded the conversion of a former wine warehouse in Basel into 64 apartments by Esch Sintzel Architekten; </w:t>
        <w:br w:type="textWrapping"/>
        <w:t xml:space="preserve">and La Borda, a timber building with 28 homes </w:t>
        <w:br w:type="textWrapping"/>
        <w:t xml:space="preserve">and a community-based model, by Lacol</w:t>
      </w:r>
      <w:r w:rsidDel="00000000" w:rsidR="00000000" w:rsidRPr="00000000">
        <w:rPr>
          <w:rFonts w:ascii="Verdana" w:cs="Verdana" w:eastAsia="Verdana" w:hAnsi="Verdana"/>
          <w:sz w:val="22"/>
          <w:szCs w:val="22"/>
          <w:rtl w:val="0"/>
        </w:rPr>
        <w:t xml:space="preserve">.</w:t>
      </w:r>
      <w:r w:rsidDel="00000000" w:rsidR="00000000" w:rsidRPr="00000000">
        <w:rPr>
          <w:rtl w:val="0"/>
        </w:rPr>
      </w:r>
    </w:p>
    <w:p w:rsidR="00000000" w:rsidDel="00000000" w:rsidP="00000000" w:rsidRDefault="00000000" w:rsidRPr="00000000" w14:paraId="0000000B">
      <w:pPr>
        <w:tabs>
          <w:tab w:val="left" w:leader="none" w:pos="709"/>
        </w:tabs>
        <w:ind w:left="3458" w:firstLine="0"/>
        <w:rPr>
          <w:rFonts w:ascii="Verdana" w:cs="Verdana" w:eastAsia="Verdana" w:hAnsi="Verdana"/>
          <w:b w:val="1"/>
          <w:bCs w:val="1"/>
          <w:sz w:val="22"/>
          <w:szCs w:val="22"/>
        </w:rPr>
      </w:pPr>
      <w:r w:rsidDel="00000000" w:rsidR="00000000" w:rsidRPr="00000000">
        <w:rPr>
          <w:rtl w:val="0"/>
        </w:rPr>
      </w:r>
    </w:p>
    <w:p w:rsidR="00000000" w:rsidDel="00000000" w:rsidP="00000000" w:rsidRDefault="00000000" w:rsidRPr="00000000" w14:paraId="0000000C">
      <w:pPr>
        <w:tabs>
          <w:tab w:val="left" w:leader="none" w:pos="709"/>
        </w:tabs>
        <w:ind w:left="3458" w:firstLine="0"/>
        <w:rPr>
          <w:rFonts w:ascii="Verdana" w:cs="Verdana" w:eastAsia="Verdana" w:hAnsi="Verdana"/>
          <w:sz w:val="22"/>
          <w:szCs w:val="22"/>
        </w:rPr>
      </w:pPr>
      <w:r w:rsidDel="00000000" w:rsidR="00000000" w:rsidRPr="00000000">
        <w:rPr>
          <w:rFonts w:ascii="Verdana" w:cs="Verdana" w:eastAsia="Verdana" w:hAnsi="Verdana"/>
          <w:b w:val="1"/>
          <w:bCs w:val="1"/>
          <w:sz w:val="22"/>
          <w:szCs w:val="22"/>
          <w:rtl w:val="0"/>
        </w:rPr>
        <w:t xml:space="preserve">– The application period opens on 30th January </w:t>
        <w:br w:type="textWrapping"/>
        <w:t xml:space="preserve">and will remain open until 31st March.</w:t>
      </w:r>
      <w:r w:rsidDel="00000000" w:rsidR="00000000" w:rsidRPr="00000000">
        <w:rPr>
          <w:rtl w:val="0"/>
        </w:rPr>
      </w:r>
    </w:p>
    <w:p w:rsidR="00000000" w:rsidDel="00000000" w:rsidP="00000000" w:rsidRDefault="00000000" w:rsidRPr="00000000" w14:paraId="0000000D">
      <w:pPr>
        <w:tabs>
          <w:tab w:val="left" w:leader="none" w:pos="709"/>
        </w:tabs>
        <w:ind w:left="3458" w:firstLine="0"/>
        <w:rPr>
          <w:rFonts w:ascii="Georgia" w:cs="Georgia" w:eastAsia="Georgia" w:hAnsi="Georgia"/>
        </w:rPr>
      </w:pPr>
      <w:r w:rsidDel="00000000" w:rsidR="00000000" w:rsidRPr="00000000">
        <w:rPr>
          <w:rtl w:val="0"/>
        </w:rPr>
      </w:r>
    </w:p>
    <w:p w:rsidR="00000000" w:rsidDel="00000000" w:rsidP="00000000" w:rsidRDefault="00000000" w:rsidRPr="00000000" w14:paraId="0000000E">
      <w:pPr>
        <w:tabs>
          <w:tab w:val="left" w:leader="none" w:pos="709"/>
        </w:tabs>
        <w:ind w:left="3458" w:firstLine="0"/>
        <w:rPr>
          <w:rFonts w:ascii="Georgia" w:cs="Georgia" w:eastAsia="Georgia" w:hAnsi="Georgia"/>
        </w:rPr>
      </w:pPr>
      <w:r w:rsidDel="00000000" w:rsidR="00000000" w:rsidRPr="00000000">
        <w:rPr>
          <w:rtl w:val="0"/>
        </w:rPr>
      </w:r>
    </w:p>
    <w:p w:rsidR="00000000" w:rsidDel="00000000" w:rsidP="00000000" w:rsidRDefault="00000000" w:rsidRPr="00000000" w14:paraId="0000000F">
      <w:pPr>
        <w:tabs>
          <w:tab w:val="left" w:leader="none" w:pos="709"/>
        </w:tabs>
        <w:ind w:left="3458" w:firstLine="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Collective housing is a hallmark of Europe, embodying a way </w:t>
        <w:br w:type="textWrapping"/>
        <w:t xml:space="preserve">of living that deserves to be recognised and valued. With the </w:t>
        <w:br w:type="textWrapping"/>
        <w:t xml:space="preserve">aim of acknowledging the excellence of all actors involved in </w:t>
        <w:br w:type="textWrapping"/>
        <w:t xml:space="preserve">its development, in 2024 the </w:t>
      </w:r>
      <w:r w:rsidDel="00000000" w:rsidR="00000000" w:rsidRPr="00000000">
        <w:rPr>
          <w:rFonts w:ascii="Georgia" w:cs="Georgia" w:eastAsia="Georgia" w:hAnsi="Georgia"/>
          <w:sz w:val="22"/>
          <w:szCs w:val="22"/>
          <w:u w:val="single"/>
          <w:rtl w:val="0"/>
        </w:rPr>
        <w:t xml:space="preserve">Basque Architecture Institute</w:t>
      </w:r>
      <w:r w:rsidDel="00000000" w:rsidR="00000000" w:rsidRPr="00000000">
        <w:rPr>
          <w:rFonts w:ascii="Georgia" w:cs="Georgia" w:eastAsia="Georgia" w:hAnsi="Georgia"/>
          <w:sz w:val="22"/>
          <w:szCs w:val="22"/>
          <w:rtl w:val="0"/>
        </w:rPr>
        <w:t xml:space="preserve"> and </w:t>
        <w:br w:type="textWrapping"/>
      </w:r>
      <w:r w:rsidDel="00000000" w:rsidR="00000000" w:rsidRPr="00000000">
        <w:rPr>
          <w:rFonts w:ascii="Georgia" w:cs="Georgia" w:eastAsia="Georgia" w:hAnsi="Georgia"/>
          <w:sz w:val="22"/>
          <w:szCs w:val="22"/>
          <w:u w:val="single"/>
          <w:rtl w:val="0"/>
        </w:rPr>
        <w:t xml:space="preserve">arc en rêve</w:t>
      </w:r>
      <w:r w:rsidDel="00000000" w:rsidR="00000000" w:rsidRPr="00000000">
        <w:rPr>
          <w:rFonts w:ascii="Georgia" w:cs="Georgia" w:eastAsia="Georgia" w:hAnsi="Georgia"/>
          <w:sz w:val="22"/>
          <w:szCs w:val="22"/>
          <w:rtl w:val="0"/>
        </w:rPr>
        <w:t xml:space="preserve"> (Bordeaux), with the support of the Basque Government’s Department of Housing and Urban Agenda, launched the first edition of the </w:t>
      </w:r>
      <w:hyperlink r:id="rId7">
        <w:r w:rsidDel="00000000" w:rsidR="00000000" w:rsidRPr="00000000">
          <w:rPr>
            <w:rFonts w:ascii="Georgia" w:cs="Georgia" w:eastAsia="Georgia" w:hAnsi="Georgia"/>
            <w:color w:val="1155cc"/>
            <w:sz w:val="22"/>
            <w:szCs w:val="22"/>
            <w:u w:val="single"/>
            <w:rtl w:val="0"/>
          </w:rPr>
          <w:t xml:space="preserve">European Collective Housing Award</w:t>
        </w:r>
      </w:hyperlink>
      <w:r w:rsidDel="00000000" w:rsidR="00000000" w:rsidRPr="00000000">
        <w:rPr>
          <w:rFonts w:ascii="Georgia" w:cs="Georgia" w:eastAsia="Georgia" w:hAnsi="Georgia"/>
          <w:sz w:val="22"/>
          <w:szCs w:val="22"/>
          <w:rtl w:val="0"/>
        </w:rPr>
        <w:t xml:space="preserve">. The award returns in 2026, once again celebrating outstanding examples.</w:t>
      </w:r>
    </w:p>
    <w:p w:rsidR="00000000" w:rsidDel="00000000" w:rsidP="00000000" w:rsidRDefault="00000000" w:rsidRPr="00000000" w14:paraId="00000010">
      <w:pPr>
        <w:tabs>
          <w:tab w:val="left" w:leader="none" w:pos="709"/>
        </w:tabs>
        <w:ind w:left="3458" w:firstLine="0"/>
        <w:rPr>
          <w:rFonts w:ascii="Georgia" w:cs="Georgia" w:eastAsia="Georgia" w:hAnsi="Georgia"/>
          <w:sz w:val="22"/>
          <w:szCs w:val="22"/>
        </w:rPr>
      </w:pPr>
      <w:r w:rsidDel="00000000" w:rsidR="00000000" w:rsidRPr="00000000">
        <w:rPr>
          <w:rFonts w:ascii="Georgia" w:cs="Georgia" w:eastAsia="Georgia" w:hAnsi="Georgia"/>
          <w:sz w:val="22"/>
          <w:szCs w:val="22"/>
          <w:rtl w:val="0"/>
        </w:rPr>
        <w:tab/>
        <w:tab/>
        <w:t xml:space="preserve">The award aims to recognise collective housing projects </w:t>
        <w:br w:type="textWrapping"/>
        <w:t xml:space="preserve">that have a positive impact on communities and contribute to sustainable urban development, while promoting architectural quality. Emphasising housing as a fundamental human need and </w:t>
        <w:br w:type="textWrapping"/>
        <w:t xml:space="preserve">a social asset, the award encourages innovation, inclusion and environmental responsibility in the design of collective housing. </w:t>
        <w:br w:type="textWrapping"/>
        <w:t xml:space="preserve">To this end, the award for best collective housing project will be granted in two categories: New construction and Renovation.</w:t>
      </w:r>
    </w:p>
    <w:p w:rsidR="00000000" w:rsidDel="00000000" w:rsidP="00000000" w:rsidRDefault="00000000" w:rsidRPr="00000000" w14:paraId="00000011">
      <w:pPr>
        <w:tabs>
          <w:tab w:val="left" w:leader="none" w:pos="709"/>
        </w:tabs>
        <w:ind w:left="3458" w:firstLine="0"/>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12">
      <w:pPr>
        <w:tabs>
          <w:tab w:val="left" w:leader="none" w:pos="709"/>
        </w:tabs>
        <w:spacing w:line="259" w:lineRule="auto"/>
        <w:ind w:left="3458" w:firstLine="0"/>
        <w:rPr>
          <w:rFonts w:ascii="Georgia" w:cs="Georgia" w:eastAsia="Georgia" w:hAnsi="Georgia"/>
          <w:color w:val="1155cc"/>
          <w:sz w:val="22"/>
          <w:szCs w:val="22"/>
        </w:rPr>
      </w:pPr>
      <w:r w:rsidDel="00000000" w:rsidR="00000000" w:rsidRPr="00000000">
        <w:rPr>
          <w:rFonts w:ascii="Georgia" w:cs="Georgia" w:eastAsia="Georgia" w:hAnsi="Georgia"/>
          <w:sz w:val="22"/>
          <w:szCs w:val="22"/>
          <w:rtl w:val="0"/>
        </w:rPr>
        <w:t xml:space="preserve">The call for submissions opens</w:t>
      </w:r>
      <w:r w:rsidDel="00000000" w:rsidR="00000000" w:rsidRPr="00000000">
        <w:rPr>
          <w:rFonts w:ascii="Georgia" w:cs="Georgia" w:eastAsia="Georgia" w:hAnsi="Georgia"/>
          <w:sz w:val="22"/>
          <w:szCs w:val="22"/>
          <w:rtl w:val="0"/>
        </w:rPr>
        <w:t xml:space="preserve"> </w:t>
      </w:r>
      <w:r w:rsidDel="00000000" w:rsidR="00000000" w:rsidRPr="00000000">
        <w:rPr>
          <w:rFonts w:ascii="Georgia" w:cs="Georgia" w:eastAsia="Georgia" w:hAnsi="Georgia"/>
          <w:sz w:val="22"/>
          <w:szCs w:val="22"/>
          <w:u w:val="single"/>
          <w:rtl w:val="0"/>
        </w:rPr>
        <w:t xml:space="preserve">on 30th January</w:t>
      </w:r>
      <w:r w:rsidDel="00000000" w:rsidR="00000000" w:rsidRPr="00000000">
        <w:rPr>
          <w:rFonts w:ascii="Georgia" w:cs="Georgia" w:eastAsia="Georgia" w:hAnsi="Georgia"/>
          <w:sz w:val="22"/>
          <w:szCs w:val="22"/>
          <w:rtl w:val="0"/>
        </w:rPr>
        <w:t xml:space="preserve">. Eligible projects must have been completed between 1st January 2024 and 31st December 2025 (both inclusive) and be located in one of the 46 member states of the Council of Europe. Submissions may be made </w:t>
        <w:br w:type="textWrapping"/>
        <w:t xml:space="preserve">by a range of stakeholders: public administrations responsible for housing development, companies overseeing the projects, design teams, construction companies involved in the works, and residents. The full rules and conditions are available at</w:t>
        <w:br w:type="textWrapping"/>
        <w:t xml:space="preserve"> </w:t>
        <w:tab/>
        <w:tab/>
      </w:r>
      <w:hyperlink r:id="rId8">
        <w:r w:rsidDel="00000000" w:rsidR="00000000" w:rsidRPr="00000000">
          <w:rPr>
            <w:rFonts w:ascii="Georgia" w:cs="Georgia" w:eastAsia="Georgia" w:hAnsi="Georgia"/>
            <w:color w:val="1155cc"/>
            <w:sz w:val="22"/>
            <w:szCs w:val="22"/>
            <w:u w:val="single"/>
            <w:rtl w:val="0"/>
          </w:rPr>
          <w:t xml:space="preserve">www.europeancollectivehousingaward.eu</w:t>
        </w:r>
      </w:hyperlink>
      <w:r w:rsidDel="00000000" w:rsidR="00000000" w:rsidRPr="00000000">
        <w:rPr>
          <w:rtl w:val="0"/>
        </w:rPr>
      </w:r>
    </w:p>
    <w:p w:rsidR="00000000" w:rsidDel="00000000" w:rsidP="00000000" w:rsidRDefault="00000000" w:rsidRPr="00000000" w14:paraId="00000013">
      <w:pPr>
        <w:tabs>
          <w:tab w:val="left" w:leader="none" w:pos="709"/>
        </w:tabs>
        <w:ind w:left="0" w:firstLine="0"/>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14">
      <w:pPr>
        <w:tabs>
          <w:tab w:val="left" w:leader="none" w:pos="709"/>
        </w:tabs>
        <w:ind w:left="0" w:firstLine="0"/>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15">
      <w:pPr>
        <w:tabs>
          <w:tab w:val="left" w:leader="none" w:pos="709"/>
        </w:tabs>
        <w:ind w:left="3458" w:firstLine="0"/>
        <w:rPr>
          <w:rFonts w:ascii="Georgia" w:cs="Georgia" w:eastAsia="Georgia" w:hAnsi="Georgia"/>
          <w:b w:val="1"/>
          <w:bCs w:val="1"/>
          <w:sz w:val="22"/>
          <w:szCs w:val="22"/>
        </w:rPr>
      </w:pPr>
      <w:r w:rsidDel="00000000" w:rsidR="00000000" w:rsidRPr="00000000">
        <w:rPr>
          <w:rFonts w:ascii="Georgia" w:cs="Georgia" w:eastAsia="Georgia" w:hAnsi="Georgia"/>
          <w:b w:val="1"/>
          <w:bCs w:val="1"/>
          <w:sz w:val="22"/>
          <w:szCs w:val="22"/>
          <w:rtl w:val="0"/>
        </w:rPr>
        <w:tab/>
        <w:tab/>
        <w:t xml:space="preserve">Recognising excellence in the everyday</w:t>
      </w:r>
    </w:p>
    <w:p w:rsidR="00000000" w:rsidDel="00000000" w:rsidP="00000000" w:rsidRDefault="00000000" w:rsidRPr="00000000" w14:paraId="00000016">
      <w:pPr>
        <w:tabs>
          <w:tab w:val="left" w:leader="none" w:pos="709"/>
        </w:tabs>
        <w:ind w:left="3458" w:firstLine="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Collective housing and the ways of living it fosters are symbols of shared life, social cohesion and urban identity across the European continent. The European Collective Housing Award seeks to recognise this impact and, in doing so, to reinforce the role that high-quality architecture plays in this mission.</w:t>
      </w:r>
    </w:p>
    <w:p w:rsidR="00000000" w:rsidDel="00000000" w:rsidP="00000000" w:rsidRDefault="00000000" w:rsidRPr="00000000" w14:paraId="00000017">
      <w:pPr>
        <w:tabs>
          <w:tab w:val="left" w:leader="none" w:pos="709"/>
        </w:tabs>
        <w:ind w:left="3458" w:firstLine="0"/>
        <w:rPr>
          <w:rFonts w:ascii="Georgia" w:cs="Georgia" w:eastAsia="Georgia" w:hAnsi="Georgia"/>
          <w:sz w:val="22"/>
          <w:szCs w:val="22"/>
        </w:rPr>
      </w:pPr>
      <w:r w:rsidDel="00000000" w:rsidR="00000000" w:rsidRPr="00000000">
        <w:rPr>
          <w:rFonts w:ascii="Georgia" w:cs="Georgia" w:eastAsia="Georgia" w:hAnsi="Georgia"/>
          <w:sz w:val="22"/>
          <w:szCs w:val="22"/>
          <w:rtl w:val="0"/>
        </w:rPr>
        <w:tab/>
        <w:tab/>
        <w:t xml:space="preserve">There are housing developments whose architecture represents excellence while also creating spaces that enhance the quality of life of their inhabitants. The </w:t>
      </w:r>
      <w:r w:rsidDel="00000000" w:rsidR="00000000" w:rsidRPr="00000000">
        <w:rPr>
          <w:rFonts w:ascii="Georgia" w:cs="Georgia" w:eastAsia="Georgia" w:hAnsi="Georgia"/>
          <w:sz w:val="22"/>
          <w:szCs w:val="22"/>
          <w:u w:val="single"/>
          <w:rtl w:val="0"/>
        </w:rPr>
        <w:t xml:space="preserve">more than 170 submissions received from 19 European</w:t>
      </w:r>
      <w:r w:rsidDel="00000000" w:rsidR="00000000" w:rsidRPr="00000000">
        <w:rPr>
          <w:rFonts w:ascii="Georgia" w:cs="Georgia" w:eastAsia="Georgia" w:hAnsi="Georgia"/>
          <w:b w:val="1"/>
          <w:bCs w:val="1"/>
          <w:sz w:val="22"/>
          <w:szCs w:val="22"/>
          <w:rtl w:val="0"/>
        </w:rPr>
        <w:t xml:space="preserve"> </w:t>
      </w:r>
      <w:r w:rsidDel="00000000" w:rsidR="00000000" w:rsidRPr="00000000">
        <w:rPr>
          <w:rFonts w:ascii="Georgia" w:cs="Georgia" w:eastAsia="Georgia" w:hAnsi="Georgia"/>
          <w:sz w:val="22"/>
          <w:szCs w:val="22"/>
          <w:rtl w:val="0"/>
        </w:rPr>
        <w:t xml:space="preserve">countries in the first edition of the award in 2024 are examples of this.</w:t>
      </w:r>
    </w:p>
    <w:p w:rsidR="00000000" w:rsidDel="00000000" w:rsidP="00000000" w:rsidRDefault="00000000" w:rsidRPr="00000000" w14:paraId="00000018">
      <w:pPr>
        <w:tabs>
          <w:tab w:val="left" w:leader="none" w:pos="709"/>
        </w:tabs>
        <w:ind w:left="3458" w:firstLine="0"/>
        <w:rPr>
          <w:rFonts w:ascii="Georgia" w:cs="Georgia" w:eastAsia="Georgia" w:hAnsi="Georgia"/>
          <w:sz w:val="22"/>
          <w:szCs w:val="22"/>
        </w:rPr>
      </w:pPr>
      <w:r w:rsidDel="00000000" w:rsidR="00000000" w:rsidRPr="00000000">
        <w:rPr>
          <w:rFonts w:ascii="Georgia" w:cs="Georgia" w:eastAsia="Georgia" w:hAnsi="Georgia"/>
          <w:sz w:val="22"/>
          <w:szCs w:val="22"/>
          <w:rtl w:val="0"/>
        </w:rPr>
        <w:tab/>
        <w:tab/>
        <w:t xml:space="preserve">Two outstanding projects received the award. In the new construction category, the prize went to </w:t>
      </w:r>
      <w:r w:rsidDel="00000000" w:rsidR="00000000" w:rsidRPr="00000000">
        <w:rPr>
          <w:rFonts w:ascii="Georgia" w:cs="Georgia" w:eastAsia="Georgia" w:hAnsi="Georgia"/>
          <w:sz w:val="22"/>
          <w:szCs w:val="22"/>
          <w:u w:val="single"/>
          <w:rtl w:val="0"/>
        </w:rPr>
        <w:t xml:space="preserve">La Borda</w:t>
      </w:r>
      <w:r w:rsidDel="00000000" w:rsidR="00000000" w:rsidRPr="00000000">
        <w:rPr>
          <w:rFonts w:ascii="Georgia" w:cs="Georgia" w:eastAsia="Georgia" w:hAnsi="Georgia"/>
          <w:sz w:val="22"/>
          <w:szCs w:val="22"/>
          <w:rtl w:val="0"/>
        </w:rPr>
        <w:t xml:space="preserve"> by Lacol: a timber building designed for communal living, comprising a cooperative of 28 homes and a community-based model with an integrated approach to sustainability, affordability and management. In the renovation category, the prize was given to Esch Sintzel Architekten for their </w:t>
      </w:r>
      <w:r w:rsidDel="00000000" w:rsidR="00000000" w:rsidRPr="00000000">
        <w:rPr>
          <w:rFonts w:ascii="Georgia" w:cs="Georgia" w:eastAsia="Georgia" w:hAnsi="Georgia"/>
          <w:sz w:val="22"/>
          <w:szCs w:val="22"/>
          <w:u w:val="single"/>
          <w:rtl w:val="0"/>
        </w:rPr>
        <w:t xml:space="preserve">transformation of a former wine warehouse in Basel into a building with 64 apartments</w:t>
      </w:r>
      <w:r w:rsidDel="00000000" w:rsidR="00000000" w:rsidRPr="00000000">
        <w:rPr>
          <w:rFonts w:ascii="Georgia" w:cs="Georgia" w:eastAsia="Georgia" w:hAnsi="Georgia"/>
          <w:sz w:val="22"/>
          <w:szCs w:val="22"/>
          <w:rtl w:val="0"/>
        </w:rPr>
        <w:t xml:space="preserve">, reactivating an underused structure while combining energy efficiency, architectural quality and a positive impact on the surrounding urban environment.</w:t>
      </w:r>
    </w:p>
    <w:p w:rsidR="00000000" w:rsidDel="00000000" w:rsidP="00000000" w:rsidRDefault="00000000" w:rsidRPr="00000000" w14:paraId="00000019">
      <w:pPr>
        <w:tabs>
          <w:tab w:val="left" w:leader="none" w:pos="709"/>
        </w:tabs>
        <w:ind w:left="3458" w:firstLine="0"/>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1A">
      <w:pPr>
        <w:tabs>
          <w:tab w:val="left" w:leader="none" w:pos="709"/>
        </w:tabs>
        <w:ind w:left="3458" w:firstLine="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In this second edition, the selection of the two winning projects </w:t>
        <w:br w:type="textWrapping"/>
        <w:t xml:space="preserve">will be entrusted to a high-profile international jury. Serving as </w:t>
        <w:br w:type="textWrapping"/>
        <w:t xml:space="preserve">Chair of the Jury will be Catalan architect </w:t>
      </w:r>
      <w:r w:rsidDel="00000000" w:rsidR="00000000" w:rsidRPr="00000000">
        <w:rPr>
          <w:rFonts w:ascii="Georgia" w:cs="Georgia" w:eastAsia="Georgia" w:hAnsi="Georgia"/>
          <w:sz w:val="22"/>
          <w:szCs w:val="22"/>
          <w:u w:val="single"/>
          <w:rtl w:val="0"/>
        </w:rPr>
        <w:t xml:space="preserve">Carme Pinós</w:t>
      </w:r>
      <w:r w:rsidDel="00000000" w:rsidR="00000000" w:rsidRPr="00000000">
        <w:rPr>
          <w:rFonts w:ascii="Georgia" w:cs="Georgia" w:eastAsia="Georgia" w:hAnsi="Georgia"/>
          <w:sz w:val="22"/>
          <w:szCs w:val="22"/>
          <w:rtl w:val="0"/>
        </w:rPr>
        <w:t xml:space="preserve">, recipient </w:t>
        <w:br w:type="textWrapping"/>
        <w:t xml:space="preserve">of the National Architecture Award of Spain in 2021, who succeeds </w:t>
        <w:br w:type="textWrapping"/>
      </w:r>
      <w:r w:rsidDel="00000000" w:rsidR="00000000" w:rsidRPr="00000000">
        <w:rPr>
          <w:rFonts w:ascii="Georgia" w:cs="Georgia" w:eastAsia="Georgia" w:hAnsi="Georgia"/>
          <w:sz w:val="22"/>
          <w:szCs w:val="22"/>
          <w:u w:val="single"/>
          <w:rtl w:val="0"/>
        </w:rPr>
        <w:t xml:space="preserve">Anne Lacaton</w:t>
      </w:r>
      <w:r w:rsidDel="00000000" w:rsidR="00000000" w:rsidRPr="00000000">
        <w:rPr>
          <w:rFonts w:ascii="Georgia" w:cs="Georgia" w:eastAsia="Georgia" w:hAnsi="Georgia"/>
          <w:sz w:val="22"/>
          <w:szCs w:val="22"/>
          <w:rtl w:val="0"/>
        </w:rPr>
        <w:t xml:space="preserve"> in the role. She will be joined by a distinguished </w:t>
        <w:br w:type="textWrapping"/>
        <w:t xml:space="preserve">panel comprising </w:t>
      </w:r>
      <w:r w:rsidDel="00000000" w:rsidR="00000000" w:rsidRPr="00000000">
        <w:rPr>
          <w:rFonts w:ascii="Georgia" w:cs="Georgia" w:eastAsia="Georgia" w:hAnsi="Georgia"/>
          <w:sz w:val="22"/>
          <w:szCs w:val="22"/>
          <w:u w:val="single"/>
          <w:rtl w:val="0"/>
        </w:rPr>
        <w:t xml:space="preserve">Jing Liu</w:t>
      </w:r>
      <w:r w:rsidDel="00000000" w:rsidR="00000000" w:rsidRPr="00000000">
        <w:rPr>
          <w:rFonts w:ascii="Georgia" w:cs="Georgia" w:eastAsia="Georgia" w:hAnsi="Georgia"/>
          <w:sz w:val="22"/>
          <w:szCs w:val="22"/>
          <w:rtl w:val="0"/>
        </w:rPr>
        <w:t xml:space="preserve"> (USA), architect and SO-IL co-founder; </w:t>
      </w:r>
      <w:r w:rsidDel="00000000" w:rsidR="00000000" w:rsidRPr="00000000">
        <w:rPr>
          <w:rFonts w:ascii="Georgia" w:cs="Georgia" w:eastAsia="Georgia" w:hAnsi="Georgia"/>
          <w:sz w:val="22"/>
          <w:szCs w:val="22"/>
          <w:u w:val="single"/>
          <w:rtl w:val="0"/>
        </w:rPr>
        <w:t xml:space="preserve">Catherine Sabbah</w:t>
      </w:r>
      <w:r w:rsidDel="00000000" w:rsidR="00000000" w:rsidRPr="00000000">
        <w:rPr>
          <w:rFonts w:ascii="Georgia" w:cs="Georgia" w:eastAsia="Georgia" w:hAnsi="Georgia"/>
          <w:sz w:val="22"/>
          <w:szCs w:val="22"/>
          <w:rtl w:val="0"/>
        </w:rPr>
        <w:t xml:space="preserve"> (France), Executive Director of IDHEAL and housing policy expert; </w:t>
      </w:r>
      <w:r w:rsidDel="00000000" w:rsidR="00000000" w:rsidRPr="00000000">
        <w:rPr>
          <w:rFonts w:ascii="Georgia" w:cs="Georgia" w:eastAsia="Georgia" w:hAnsi="Georgia"/>
          <w:sz w:val="22"/>
          <w:szCs w:val="22"/>
          <w:u w:val="single"/>
          <w:rtl w:val="0"/>
        </w:rPr>
        <w:t xml:space="preserve">David Madden</w:t>
      </w:r>
      <w:r w:rsidDel="00000000" w:rsidR="00000000" w:rsidRPr="00000000">
        <w:rPr>
          <w:rFonts w:ascii="Georgia" w:cs="Georgia" w:eastAsia="Georgia" w:hAnsi="Georgia"/>
          <w:sz w:val="22"/>
          <w:szCs w:val="22"/>
          <w:rtl w:val="0"/>
        </w:rPr>
        <w:t xml:space="preserve"> (United Kingdom), urban sociologist and Director of the Cities Programme at the London School of Economics; and </w:t>
      </w:r>
      <w:r w:rsidDel="00000000" w:rsidR="00000000" w:rsidRPr="00000000">
        <w:rPr>
          <w:rFonts w:ascii="Georgia" w:cs="Georgia" w:eastAsia="Georgia" w:hAnsi="Georgia"/>
          <w:sz w:val="22"/>
          <w:szCs w:val="22"/>
          <w:u w:val="single"/>
          <w:rtl w:val="0"/>
        </w:rPr>
        <w:t xml:space="preserve">Lucia Tozzi</w:t>
      </w:r>
      <w:r w:rsidDel="00000000" w:rsidR="00000000" w:rsidRPr="00000000">
        <w:rPr>
          <w:rFonts w:ascii="Georgia" w:cs="Georgia" w:eastAsia="Georgia" w:hAnsi="Georgia"/>
          <w:sz w:val="22"/>
          <w:szCs w:val="22"/>
          <w:rtl w:val="0"/>
        </w:rPr>
        <w:t xml:space="preserve"> (Italy), urban researcher </w:t>
        <w:br w:type="textWrapping"/>
        <w:t xml:space="preserve">and journalist. </w:t>
      </w:r>
    </w:p>
    <w:p w:rsidR="00000000" w:rsidDel="00000000" w:rsidP="00000000" w:rsidRDefault="00000000" w:rsidRPr="00000000" w14:paraId="0000001B">
      <w:pPr>
        <w:tabs>
          <w:tab w:val="left" w:leader="none" w:pos="709"/>
        </w:tabs>
        <w:ind w:left="3458" w:firstLine="0"/>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1C">
      <w:pPr>
        <w:tabs>
          <w:tab w:val="left" w:leader="none" w:pos="709"/>
        </w:tabs>
        <w:ind w:left="3458" w:firstLine="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In addition, the award is supported by an Advisory Council made </w:t>
        <w:br w:type="textWrapping"/>
        <w:t xml:space="preserve">up of leading figures who contribute a critical and diverse perspective </w:t>
        <w:br w:type="textWrapping"/>
        <w:t xml:space="preserve">on the housing challenge. Joining the Council for this second edition is Belgian architect and urban planner </w:t>
      </w:r>
      <w:r w:rsidDel="00000000" w:rsidR="00000000" w:rsidRPr="00000000">
        <w:rPr>
          <w:rFonts w:ascii="Georgia" w:cs="Georgia" w:eastAsia="Georgia" w:hAnsi="Georgia"/>
          <w:sz w:val="22"/>
          <w:szCs w:val="22"/>
          <w:u w:val="single"/>
          <w:rtl w:val="0"/>
        </w:rPr>
        <w:t xml:space="preserve">Kristiaan Borret</w:t>
      </w:r>
      <w:r w:rsidDel="00000000" w:rsidR="00000000" w:rsidRPr="00000000">
        <w:rPr>
          <w:rFonts w:ascii="Georgia" w:cs="Georgia" w:eastAsia="Georgia" w:hAnsi="Georgia"/>
          <w:sz w:val="22"/>
          <w:szCs w:val="22"/>
          <w:rtl w:val="0"/>
        </w:rPr>
        <w:t xml:space="preserve">, who served </w:t>
        <w:br w:type="textWrapping"/>
        <w:t xml:space="preserve">as Chief Architect of the Brussels-Capital Region (2015–2025) and served as juror in the first edition. He joins the Advisory Council that supported the previous edition, composed of </w:t>
      </w:r>
      <w:r w:rsidDel="00000000" w:rsidR="00000000" w:rsidRPr="00000000">
        <w:rPr>
          <w:rFonts w:ascii="Georgia" w:cs="Georgia" w:eastAsia="Georgia" w:hAnsi="Georgia"/>
          <w:sz w:val="22"/>
          <w:szCs w:val="22"/>
          <w:u w:val="single"/>
          <w:rtl w:val="0"/>
        </w:rPr>
        <w:t xml:space="preserve">Bernard Blanc</w:t>
      </w:r>
      <w:r w:rsidDel="00000000" w:rsidR="00000000" w:rsidRPr="00000000">
        <w:rPr>
          <w:rFonts w:ascii="Georgia" w:cs="Georgia" w:eastAsia="Georgia" w:hAnsi="Georgia"/>
          <w:sz w:val="22"/>
          <w:szCs w:val="22"/>
          <w:rtl w:val="0"/>
        </w:rPr>
        <w:t xml:space="preserve"> (France), urban planner, politician and public administrator specialising in housing, member of Bordeaux City Council and creator of the “Bâtiment Frugal Bordelais” label; </w:t>
      </w:r>
      <w:r w:rsidDel="00000000" w:rsidR="00000000" w:rsidRPr="00000000">
        <w:rPr>
          <w:rFonts w:ascii="Georgia" w:cs="Georgia" w:eastAsia="Georgia" w:hAnsi="Georgia"/>
          <w:sz w:val="22"/>
          <w:szCs w:val="22"/>
          <w:u w:val="single"/>
          <w:rtl w:val="0"/>
        </w:rPr>
        <w:t xml:space="preserve">Aurora Fernández Per</w:t>
      </w:r>
      <w:r w:rsidDel="00000000" w:rsidR="00000000" w:rsidRPr="00000000">
        <w:rPr>
          <w:rFonts w:ascii="Georgia" w:cs="Georgia" w:eastAsia="Georgia" w:hAnsi="Georgia"/>
          <w:sz w:val="22"/>
          <w:szCs w:val="22"/>
          <w:rtl w:val="0"/>
        </w:rPr>
        <w:t xml:space="preserve"> (Spain), architecture journalist and co-founder of a+t architecture publishers; </w:t>
      </w:r>
      <w:r w:rsidDel="00000000" w:rsidR="00000000" w:rsidRPr="00000000">
        <w:rPr>
          <w:rFonts w:ascii="Georgia" w:cs="Georgia" w:eastAsia="Georgia" w:hAnsi="Georgia"/>
          <w:sz w:val="22"/>
          <w:szCs w:val="22"/>
          <w:u w:val="single"/>
          <w:rtl w:val="0"/>
        </w:rPr>
        <w:t xml:space="preserve">Carmen Imbernón</w:t>
      </w:r>
      <w:r w:rsidDel="00000000" w:rsidR="00000000" w:rsidRPr="00000000">
        <w:rPr>
          <w:rFonts w:ascii="Georgia" w:cs="Georgia" w:eastAsia="Georgia" w:hAnsi="Georgia"/>
          <w:sz w:val="22"/>
          <w:szCs w:val="22"/>
          <w:rtl w:val="0"/>
        </w:rPr>
        <w:t xml:space="preserve"> (Spain), architect and professor, Secretary General of EUROPAN Spain; and </w:t>
      </w:r>
      <w:r w:rsidDel="00000000" w:rsidR="00000000" w:rsidRPr="00000000">
        <w:rPr>
          <w:rFonts w:ascii="Georgia" w:cs="Georgia" w:eastAsia="Georgia" w:hAnsi="Georgia"/>
          <w:sz w:val="22"/>
          <w:szCs w:val="22"/>
          <w:u w:val="single"/>
          <w:rtl w:val="0"/>
        </w:rPr>
        <w:t xml:space="preserve">Vittorio Magnago Lampugnani</w:t>
      </w:r>
      <w:r w:rsidDel="00000000" w:rsidR="00000000" w:rsidRPr="00000000">
        <w:rPr>
          <w:rFonts w:ascii="Georgia" w:cs="Georgia" w:eastAsia="Georgia" w:hAnsi="Georgia"/>
          <w:sz w:val="22"/>
          <w:szCs w:val="22"/>
          <w:rtl w:val="0"/>
        </w:rPr>
        <w:t xml:space="preserve"> (Italy), architect, Professor Emeritus at ETH Zurich, former editor of </w:t>
      </w:r>
      <w:r w:rsidDel="00000000" w:rsidR="00000000" w:rsidRPr="00000000">
        <w:rPr>
          <w:rFonts w:ascii="Georgia" w:cs="Georgia" w:eastAsia="Georgia" w:hAnsi="Georgia"/>
          <w:i w:val="1"/>
          <w:iCs w:val="1"/>
          <w:sz w:val="22"/>
          <w:szCs w:val="22"/>
          <w:rtl w:val="0"/>
        </w:rPr>
        <w:t xml:space="preserve">Domus</w:t>
      </w:r>
      <w:r w:rsidDel="00000000" w:rsidR="00000000" w:rsidRPr="00000000">
        <w:rPr>
          <w:rFonts w:ascii="Georgia" w:cs="Georgia" w:eastAsia="Georgia" w:hAnsi="Georgia"/>
          <w:sz w:val="22"/>
          <w:szCs w:val="22"/>
          <w:rtl w:val="0"/>
        </w:rPr>
        <w:t xml:space="preserve"> magazine and director of the German Architecture Museum in Frankfurt.</w:t>
      </w:r>
    </w:p>
    <w:p w:rsidR="00000000" w:rsidDel="00000000" w:rsidP="00000000" w:rsidRDefault="00000000" w:rsidRPr="00000000" w14:paraId="0000001D">
      <w:pPr>
        <w:tabs>
          <w:tab w:val="left" w:leader="none" w:pos="709"/>
        </w:tabs>
        <w:ind w:left="3458" w:firstLine="0"/>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1E">
      <w:pPr>
        <w:tabs>
          <w:tab w:val="left" w:leader="none" w:pos="709"/>
        </w:tabs>
        <w:ind w:left="3458" w:firstLine="0"/>
        <w:rPr/>
      </w:pPr>
      <w:r w:rsidDel="00000000" w:rsidR="00000000" w:rsidRPr="00000000">
        <w:rPr>
          <w:rFonts w:ascii="Georgia" w:cs="Georgia" w:eastAsia="Georgia" w:hAnsi="Georgia"/>
          <w:sz w:val="22"/>
          <w:szCs w:val="22"/>
          <w:rtl w:val="0"/>
        </w:rPr>
        <w:t xml:space="preserve">With this second edition, the European Collective Housing Award seeks to highlight one of the continent’s greatest urban legacies: </w:t>
        <w:br w:type="textWrapping"/>
        <w:t xml:space="preserve">an essential tool for inclusive and sustainable cities, and one of </w:t>
        <w:br w:type="textWrapping"/>
        <w:t xml:space="preserve">the pillars of the European welfare state.</w:t>
      </w:r>
      <w:r w:rsidDel="00000000" w:rsidR="00000000" w:rsidRPr="00000000">
        <w:rPr>
          <w:rtl w:val="0"/>
        </w:rPr>
      </w:r>
    </w:p>
    <w:p w:rsidR="00000000" w:rsidDel="00000000" w:rsidP="00000000" w:rsidRDefault="00000000" w:rsidRPr="00000000" w14:paraId="0000001F">
      <w:pPr>
        <w:tabs>
          <w:tab w:val="left" w:leader="none" w:pos="709"/>
        </w:tabs>
        <w:ind w:left="3458" w:firstLine="0"/>
        <w:rPr/>
      </w:pPr>
      <w:r w:rsidDel="00000000" w:rsidR="00000000" w:rsidRPr="00000000">
        <w:rPr>
          <w:rtl w:val="0"/>
        </w:rPr>
      </w:r>
    </w:p>
    <w:p w:rsidR="00000000" w:rsidDel="00000000" w:rsidP="00000000" w:rsidRDefault="00000000" w:rsidRPr="00000000" w14:paraId="00000020">
      <w:pPr>
        <w:tabs>
          <w:tab w:val="left" w:leader="none" w:pos="709"/>
        </w:tabs>
        <w:ind w:left="3458" w:firstLine="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Applications may be submitted </w:t>
      </w:r>
      <w:r w:rsidDel="00000000" w:rsidR="00000000" w:rsidRPr="00000000">
        <w:rPr>
          <w:rFonts w:ascii="Georgia" w:cs="Georgia" w:eastAsia="Georgia" w:hAnsi="Georgia"/>
          <w:sz w:val="22"/>
          <w:szCs w:val="22"/>
          <w:rtl w:val="0"/>
        </w:rPr>
        <w:t xml:space="preserve">from 30th January</w:t>
      </w:r>
      <w:r w:rsidDel="00000000" w:rsidR="00000000" w:rsidRPr="00000000">
        <w:rPr>
          <w:rFonts w:ascii="Georgia" w:cs="Georgia" w:eastAsia="Georgia" w:hAnsi="Georgia"/>
          <w:sz w:val="22"/>
          <w:szCs w:val="22"/>
          <w:rtl w:val="0"/>
        </w:rPr>
        <w:t xml:space="preserve">, via the </w:t>
        <w:br w:type="textWrapping"/>
        <w:tab/>
        <w:tab/>
      </w:r>
      <w:hyperlink r:id="rId9">
        <w:r w:rsidDel="00000000" w:rsidR="00000000" w:rsidRPr="00000000">
          <w:rPr>
            <w:rFonts w:ascii="Georgia" w:cs="Georgia" w:eastAsia="Georgia" w:hAnsi="Georgia"/>
            <w:color w:val="1155cc"/>
            <w:sz w:val="22"/>
            <w:szCs w:val="22"/>
            <w:u w:val="single"/>
            <w:rtl w:val="0"/>
          </w:rPr>
          <w:t xml:space="preserve">website of the award</w:t>
        </w:r>
      </w:hyperlink>
      <w:r w:rsidDel="00000000" w:rsidR="00000000" w:rsidRPr="00000000">
        <w:rPr>
          <w:rFonts w:ascii="Georgia" w:cs="Georgia" w:eastAsia="Georgia" w:hAnsi="Georgia"/>
          <w:sz w:val="22"/>
          <w:szCs w:val="22"/>
          <w:rtl w:val="0"/>
        </w:rPr>
        <w:t xml:space="preserve">. </w:t>
      </w:r>
    </w:p>
    <w:p w:rsidR="00000000" w:rsidDel="00000000" w:rsidP="00000000" w:rsidRDefault="00000000" w:rsidRPr="00000000" w14:paraId="00000021">
      <w:pPr>
        <w:tabs>
          <w:tab w:val="left" w:leader="none" w:pos="709"/>
        </w:tabs>
        <w:ind w:left="0" w:firstLine="0"/>
        <w:rPr/>
      </w:pPr>
      <w:r w:rsidDel="00000000" w:rsidR="00000000" w:rsidRPr="00000000">
        <w:rPr>
          <w:rFonts w:ascii="Georgia" w:cs="Georgia" w:eastAsia="Georgia" w:hAnsi="Georgia"/>
          <w:sz w:val="22"/>
          <w:szCs w:val="22"/>
          <w:rtl w:val="0"/>
        </w:rPr>
        <w:tab/>
      </w:r>
      <w:r w:rsidDel="00000000" w:rsidR="00000000" w:rsidRPr="00000000">
        <w:rPr>
          <w:rtl w:val="0"/>
        </w:rPr>
      </w:r>
    </w:p>
    <w:p w:rsidR="00000000" w:rsidDel="00000000" w:rsidP="00000000" w:rsidRDefault="00000000" w:rsidRPr="00000000" w14:paraId="00000022">
      <w:pPr>
        <w:tabs>
          <w:tab w:val="left" w:leader="none" w:pos="709"/>
        </w:tabs>
        <w:ind w:left="3458" w:firstLine="0"/>
        <w:rPr>
          <w:rFonts w:ascii="Georgia" w:cs="Georgia" w:eastAsia="Georgia" w:hAnsi="Georgia"/>
        </w:rPr>
      </w:pPr>
      <w:r w:rsidDel="00000000" w:rsidR="00000000" w:rsidRPr="00000000">
        <w:rPr>
          <w:rtl w:val="0"/>
        </w:rPr>
      </w:r>
    </w:p>
    <w:p w:rsidR="00000000" w:rsidDel="00000000" w:rsidP="00000000" w:rsidRDefault="00000000" w:rsidRPr="00000000" w14:paraId="00000023">
      <w:pPr>
        <w:tabs>
          <w:tab w:val="left" w:leader="none" w:pos="709"/>
        </w:tabs>
        <w:ind w:left="3458" w:firstLine="0"/>
        <w:rPr>
          <w:rFonts w:ascii="Georgia" w:cs="Georgia" w:eastAsia="Georgia" w:hAnsi="Georgia"/>
          <w:b w:val="1"/>
          <w:bCs w:val="1"/>
          <w:sz w:val="22"/>
          <w:szCs w:val="22"/>
        </w:rPr>
      </w:pPr>
      <w:r w:rsidDel="00000000" w:rsidR="00000000" w:rsidRPr="00000000">
        <w:rPr>
          <w:rFonts w:ascii="Georgia" w:cs="Georgia" w:eastAsia="Georgia" w:hAnsi="Georgia"/>
          <w:b w:val="1"/>
          <w:bCs w:val="1"/>
          <w:sz w:val="22"/>
          <w:szCs w:val="22"/>
          <w:rtl w:val="0"/>
        </w:rPr>
        <w:tab/>
        <w:tab/>
        <w:t xml:space="preserve">More information</w:t>
      </w:r>
    </w:p>
    <w:p w:rsidR="00000000" w:rsidDel="00000000" w:rsidP="00000000" w:rsidRDefault="00000000" w:rsidRPr="00000000" w14:paraId="00000024">
      <w:pPr>
        <w:tabs>
          <w:tab w:val="left" w:leader="none" w:pos="709"/>
        </w:tabs>
        <w:ind w:left="3458" w:firstLine="0"/>
        <w:rPr>
          <w:rFonts w:ascii="Georgia" w:cs="Georgia" w:eastAsia="Georgia" w:hAnsi="Georgia"/>
          <w:b w:val="1"/>
          <w:bCs w:val="1"/>
          <w:sz w:val="22"/>
          <w:szCs w:val="22"/>
        </w:rPr>
      </w:pPr>
      <w:r w:rsidDel="00000000" w:rsidR="00000000" w:rsidRPr="00000000">
        <w:rPr>
          <w:rFonts w:ascii="Georgia" w:cs="Georgia" w:eastAsia="Georgia" w:hAnsi="Georgia"/>
          <w:sz w:val="22"/>
          <w:szCs w:val="22"/>
          <w:rtl w:val="0"/>
        </w:rPr>
        <w:t xml:space="preserve">Francesco Degl’innocenti </w:t>
      </w:r>
      <w:r w:rsidDel="00000000" w:rsidR="00000000" w:rsidRPr="00000000">
        <w:rPr>
          <w:rtl w:val="0"/>
        </w:rPr>
      </w:r>
    </w:p>
    <w:p w:rsidR="00000000" w:rsidDel="00000000" w:rsidP="00000000" w:rsidRDefault="00000000" w:rsidRPr="00000000" w14:paraId="00000025">
      <w:pPr>
        <w:tabs>
          <w:tab w:val="left" w:leader="none" w:pos="709"/>
        </w:tabs>
        <w:ind w:left="3458" w:firstLine="0"/>
        <w:rPr>
          <w:rFonts w:ascii="Georgia" w:cs="Georgia" w:eastAsia="Georgia" w:hAnsi="Georgia"/>
          <w:color w:val="1155cc"/>
          <w:sz w:val="22"/>
          <w:szCs w:val="22"/>
        </w:rPr>
      </w:pPr>
      <w:r w:rsidDel="00000000" w:rsidR="00000000" w:rsidRPr="00000000">
        <w:rPr>
          <w:rFonts w:ascii="Georgia" w:cs="Georgia" w:eastAsia="Georgia" w:hAnsi="Georgia"/>
          <w:b w:val="1"/>
          <w:bCs w:val="1"/>
          <w:sz w:val="22"/>
          <w:szCs w:val="22"/>
          <w:rtl w:val="0"/>
        </w:rPr>
        <w:tab/>
        <w:tab/>
      </w:r>
      <w:hyperlink r:id="rId10">
        <w:r w:rsidDel="00000000" w:rsidR="00000000" w:rsidRPr="00000000">
          <w:rPr>
            <w:rFonts w:ascii="Georgia" w:cs="Georgia" w:eastAsia="Georgia" w:hAnsi="Georgia"/>
            <w:color w:val="1155cc"/>
            <w:sz w:val="22"/>
            <w:szCs w:val="22"/>
            <w:u w:val="single"/>
            <w:rtl w:val="0"/>
          </w:rPr>
          <w:t xml:space="preserve">press@europeancollectivehousingaward.eu</w:t>
        </w:r>
      </w:hyperlink>
      <w:r w:rsidDel="00000000" w:rsidR="00000000" w:rsidRPr="00000000">
        <w:rPr>
          <w:rtl w:val="0"/>
        </w:rPr>
      </w:r>
    </w:p>
    <w:sectPr>
      <w:headerReference r:id="rId11" w:type="default"/>
      <w:footerReference r:id="rId12" w:type="default"/>
      <w:pgSz w:h="16838" w:w="11906" w:orient="portrait"/>
      <w:pgMar w:bottom="2410" w:top="2722" w:left="794"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tabs>
        <w:tab w:val="left" w:leader="none" w:pos="709"/>
      </w:tabs>
      <w:ind w:left="3458" w:firstLine="0"/>
      <w:jc w:val="both"/>
      <w:rPr/>
    </w:pPr>
    <w:r w:rsidDel="00000000" w:rsidR="00000000" w:rsidRPr="00000000">
      <w:rPr>
        <w:rtl w:val="0"/>
      </w:rPr>
    </w:r>
  </w:p>
  <w:p w:rsidR="00000000" w:rsidDel="00000000" w:rsidP="00000000" w:rsidRDefault="00000000" w:rsidRPr="00000000" w14:paraId="00000029">
    <w:pPr>
      <w:tabs>
        <w:tab w:val="left" w:leader="none" w:pos="709"/>
      </w:tabs>
      <w:ind w:left="3458" w:firstLine="0"/>
      <w:jc w:val="both"/>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3263265</wp:posOffset>
          </wp:positionH>
          <wp:positionV relativeFrom="paragraph">
            <wp:posOffset>300355</wp:posOffset>
          </wp:positionV>
          <wp:extent cx="3366135" cy="861060"/>
          <wp:effectExtent b="0" l="0" r="0" t="0"/>
          <wp:wrapTopAndBottom distB="0" distT="0"/>
          <wp:docPr id="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366135" cy="861060"/>
                  </a:xfrm>
                  <a:prstGeom prst="rect"/>
                  <a:ln/>
                </pic:spPr>
              </pic:pic>
            </a:graphicData>
          </a:graphic>
        </wp:anchor>
      </w:drawing>
    </w:r>
  </w:p>
  <w:p w:rsidR="00000000" w:rsidDel="00000000" w:rsidP="00000000" w:rsidRDefault="00000000" w:rsidRPr="00000000" w14:paraId="0000002A">
    <w:pPr>
      <w:tabs>
        <w:tab w:val="left" w:leader="none" w:pos="709"/>
      </w:tabs>
      <w:ind w:left="3458" w:firstLine="0"/>
      <w:jc w:val="both"/>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428625</wp:posOffset>
          </wp:positionV>
          <wp:extent cx="1005523" cy="454671"/>
          <wp:effectExtent b="0" l="0" r="0" t="0"/>
          <wp:wrapSquare wrapText="bothSides" distB="0" distT="0" distL="0" distR="0"/>
          <wp:docPr id="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005523" cy="454671"/>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1543050</wp:posOffset>
          </wp:positionH>
          <wp:positionV relativeFrom="paragraph">
            <wp:posOffset>242570</wp:posOffset>
          </wp:positionV>
          <wp:extent cx="1719580" cy="706120"/>
          <wp:effectExtent b="0" l="0" r="0" t="0"/>
          <wp:wrapSquare wrapText="bothSides" distB="0" distT="0" distL="0" distR="0"/>
          <wp:docPr id="9" name="image4.jpg"/>
          <a:graphic>
            <a:graphicData uri="http://schemas.openxmlformats.org/drawingml/2006/picture">
              <pic:pic>
                <pic:nvPicPr>
                  <pic:cNvPr id="0" name="image4.jpg"/>
                  <pic:cNvPicPr preferRelativeResize="0"/>
                </pic:nvPicPr>
                <pic:blipFill>
                  <a:blip r:embed="rId3"/>
                  <a:srcRect b="52406" l="0" r="0" t="6368"/>
                  <a:stretch>
                    <a:fillRect/>
                  </a:stretch>
                </pic:blipFill>
                <pic:spPr>
                  <a:xfrm>
                    <a:off x="0" y="0"/>
                    <a:ext cx="1719580" cy="706120"/>
                  </a:xfrm>
                  <a:prstGeom prst="rect"/>
                  <a:ln/>
                </pic:spPr>
              </pic:pic>
            </a:graphicData>
          </a:graphic>
        </wp:anchor>
      </w:drawing>
    </w:r>
  </w:p>
  <w:p w:rsidR="00000000" w:rsidDel="00000000" w:rsidP="00000000" w:rsidRDefault="00000000" w:rsidRPr="00000000" w14:paraId="0000002B">
    <w:pPr>
      <w:tabs>
        <w:tab w:val="left" w:leader="none" w:pos="709"/>
      </w:tabs>
      <w:ind w:left="3458" w:firstLine="0"/>
      <w:jc w:val="both"/>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tabs>
        <w:tab w:val="left" w:leader="none" w:pos="709"/>
        <w:tab w:val="left" w:leader="none" w:pos="4061"/>
      </w:tabs>
      <w:ind w:left="107" w:firstLine="0"/>
      <w:rPr/>
    </w:pPr>
    <w:r w:rsidDel="00000000" w:rsidR="00000000" w:rsidRPr="00000000">
      <w:rPr/>
      <w:drawing>
        <wp:inline distB="0" distT="0" distL="0" distR="0">
          <wp:extent cx="6515100" cy="1130300"/>
          <wp:effectExtent b="0" l="0" r="0" t="0"/>
          <wp:docPr id="8"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515100"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tabs>
        <w:tab w:val="left" w:leader="none" w:pos="709"/>
      </w:tabs>
      <w:ind w:firstLine="3459"/>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widowControl w:val="0"/>
        <w:tabs>
          <w:tab w:val="left" w:leader="none" w:pos="709"/>
        </w:tabs>
        <w:ind w:left="3459"/>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character" w:styleId="Hipervnculo">
    <w:name w:val="Hyperlink"/>
    <w:basedOn w:val="Fuentedeprrafopredeter"/>
    <w:uiPriority w:val="99"/>
    <w:unhideWhenUsed w:val="1"/>
    <w:rsid w:val="00EC5598"/>
    <w:rPr>
      <w:color w:val="0000ff" w:themeColor="hyperlink"/>
      <w:u w:val="single"/>
    </w:rPr>
  </w:style>
  <w:style w:type="character" w:styleId="Mencinsinresolver">
    <w:name w:val="Unresolved Mention"/>
    <w:basedOn w:val="Fuentedeprrafopredeter"/>
    <w:uiPriority w:val="99"/>
    <w:semiHidden w:val="1"/>
    <w:unhideWhenUsed w:val="1"/>
    <w:rsid w:val="00EC5598"/>
    <w:rPr>
      <w:color w:val="605e5c"/>
      <w:shd w:color="auto" w:fill="e1dfdd" w:val="clear"/>
    </w:rPr>
  </w:style>
  <w:style w:type="character" w:styleId="Refdecomentario">
    <w:name w:val="annotation reference"/>
    <w:basedOn w:val="Fuentedeprrafopredeter"/>
    <w:uiPriority w:val="99"/>
    <w:semiHidden w:val="1"/>
    <w:unhideWhenUsed w:val="1"/>
    <w:rsid w:val="00C36032"/>
    <w:rPr>
      <w:sz w:val="16"/>
      <w:szCs w:val="16"/>
    </w:rPr>
  </w:style>
  <w:style w:type="paragraph" w:styleId="Textocomentario">
    <w:name w:val="annotation text"/>
    <w:basedOn w:val="Normal"/>
    <w:link w:val="TextocomentarioCar"/>
    <w:uiPriority w:val="99"/>
    <w:semiHidden w:val="1"/>
    <w:unhideWhenUsed w:val="1"/>
    <w:rsid w:val="00C36032"/>
    <w:rPr>
      <w:sz w:val="20"/>
      <w:szCs w:val="20"/>
    </w:rPr>
  </w:style>
  <w:style w:type="character" w:styleId="TextocomentarioCar" w:customStyle="1">
    <w:name w:val="Texto comentario Car"/>
    <w:basedOn w:val="Fuentedeprrafopredeter"/>
    <w:link w:val="Textocomentario"/>
    <w:uiPriority w:val="99"/>
    <w:semiHidden w:val="1"/>
    <w:rsid w:val="00C36032"/>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C36032"/>
    <w:rPr>
      <w:b w:val="1"/>
      <w:bCs w:val="1"/>
    </w:rPr>
  </w:style>
  <w:style w:type="character" w:styleId="AsuntodelcomentarioCar" w:customStyle="1">
    <w:name w:val="Asunto del comentario Car"/>
    <w:basedOn w:val="TextocomentarioCar"/>
    <w:link w:val="Asuntodelcomentario"/>
    <w:uiPriority w:val="99"/>
    <w:semiHidden w:val="1"/>
    <w:rsid w:val="00C36032"/>
    <w:rPr>
      <w:b w:val="1"/>
      <w:bCs w:val="1"/>
      <w:sz w:val="20"/>
      <w:szCs w:val="20"/>
    </w:rPr>
  </w:style>
  <w:style w:type="paragraph" w:styleId="Revisin">
    <w:name w:val="Revision"/>
    <w:hidden w:val="1"/>
    <w:uiPriority w:val="99"/>
    <w:semiHidden w:val="1"/>
    <w:rsid w:val="001820CD"/>
    <w:pPr>
      <w:widowControl w:val="1"/>
      <w:tabs>
        <w:tab w:val="clear" w:pos="709"/>
      </w:tabs>
      <w:ind w:left="0"/>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press@europeancollectivehousingaward.eu" TargetMode="External"/><Relationship Id="rId12" Type="http://schemas.openxmlformats.org/officeDocument/2006/relationships/footer" Target="footer1.xml"/><Relationship Id="rId9" Type="http://schemas.openxmlformats.org/officeDocument/2006/relationships/hyperlink" Target="https://europeancollectivehousingaward.e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uropeancollectivehousingaward.eu/" TargetMode="External"/><Relationship Id="rId8" Type="http://schemas.openxmlformats.org/officeDocument/2006/relationships/hyperlink" Target="http://www.europeancollectivehousingaward.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wDxAXaLnGAA5ukzC5IqCP1Td+Q==">CgMxLjA4AHIhMVdmVGxsR00xZHVMaUprbWVZQk9rSE96cXhPcm4ySm9O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2026-01-29T15:14:00Z</dcterms:created>
  <dc:creator>Xabier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0x0101009C38A50E8DA5374A80349E6B5BA5BD61</vt:lpwstr>
  </property>
  <property fmtid="{D5CDD505-2E9C-101B-9397-08002B2CF9AE}" pid="3" name="GrammarlyDocumentId">
    <vt:lpwstr>75b0c6a3-60bc-4ac7-b02b-6081144e0289</vt:lpwstr>
  </property>
  <property fmtid="{D5CDD505-2E9C-101B-9397-08002B2CF9AE}" pid="4" name="MediaServiceImageTags">
    <vt:lpwstr/>
  </property>
</Properties>
</file>